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42" w:rsidRPr="00EA0320" w:rsidRDefault="00681042" w:rsidP="00681042">
      <w:pPr>
        <w:pStyle w:val="Heading4"/>
      </w:pPr>
      <w:bookmarkStart w:id="0" w:name="_Toc59105702"/>
      <w:r w:rsidRPr="00EA0320">
        <w:t>Thermal</w:t>
      </w:r>
      <w:bookmarkEnd w:id="0"/>
    </w:p>
    <w:p w:rsidR="00681042" w:rsidRPr="00EA0320" w:rsidRDefault="00681042" w:rsidP="00681042">
      <w:pPr>
        <w:pStyle w:val="RTCAParagraph"/>
      </w:pPr>
      <w:r w:rsidRPr="00EA0320">
        <w:t xml:space="preserve">Thermal Heating or Thermal Disinfection is an example of an emerging technology to combat SARS-CoV-2.  </w:t>
      </w:r>
      <w:r w:rsidR="00940396" w:rsidRPr="00940396">
        <w:rPr>
          <w:color w:val="0000FF"/>
        </w:rPr>
        <w:t>Thermal Disinfection involves heating surfaces for prolonged periods of time to deactivate v</w:t>
      </w:r>
      <w:r w:rsidRPr="00940396">
        <w:rPr>
          <w:color w:val="0000FF"/>
        </w:rPr>
        <w:t>iruses and bacteria</w:t>
      </w:r>
      <w:r w:rsidR="00940396" w:rsidRPr="00940396">
        <w:rPr>
          <w:color w:val="0000FF"/>
        </w:rPr>
        <w:t>.</w:t>
      </w:r>
      <w:r w:rsidRPr="00940396">
        <w:rPr>
          <w:color w:val="0000FF"/>
        </w:rPr>
        <w:t xml:space="preserve"> </w:t>
      </w:r>
      <w:r w:rsidRPr="00940396">
        <w:rPr>
          <w:strike/>
        </w:rPr>
        <w:t>can be inactivated (die off) when exposed to heat for a certain peri</w:t>
      </w:r>
      <w:r w:rsidRPr="00940396">
        <w:rPr>
          <w:strike/>
        </w:rPr>
        <w:t>+</w:t>
      </w:r>
      <w:r w:rsidRPr="00940396">
        <w:rPr>
          <w:strike/>
        </w:rPr>
        <w:t>od of time.</w:t>
      </w:r>
      <w:r w:rsidRPr="00EA0320">
        <w:t xml:space="preserve">  </w:t>
      </w:r>
      <w:r w:rsidR="00940396" w:rsidRPr="00940396">
        <w:rPr>
          <w:color w:val="0000FF"/>
        </w:rPr>
        <w:t xml:space="preserve">Thermal disinfection also prevents the risk of moisture ingress posed by liquid-based disinfectants and limits the potential for missed spots and ergonimic issues that may occur when maually disinfecting surfaces by hand.  </w:t>
      </w:r>
      <w:r w:rsidRPr="00EA0320">
        <w:t xml:space="preserve">The specific thermal inactivation temperature with associated relative humidity, and length of heat exposure required to be effective for each virus and bacteria is different.  Studies </w:t>
      </w:r>
      <w:r w:rsidRPr="00681042">
        <w:rPr>
          <w:color w:val="0000FF"/>
        </w:rPr>
        <w:t>have been conducted</w:t>
      </w:r>
      <w:r>
        <w:t xml:space="preserve"> </w:t>
      </w:r>
      <w:r w:rsidRPr="00681042">
        <w:rPr>
          <w:strike/>
        </w:rPr>
        <w:t>are ongoing</w:t>
      </w:r>
      <w:r w:rsidRPr="00EA0320">
        <w:t xml:space="preserve"> to show the functional capability and efficacy for thermal heating against SARS-CoV-2</w:t>
      </w:r>
      <w:r w:rsidRPr="00681042">
        <w:rPr>
          <w:color w:val="0000FF"/>
          <w:vertAlign w:val="superscript"/>
        </w:rPr>
        <w:t>20</w:t>
      </w:r>
      <w:r w:rsidRPr="00EA0320">
        <w:t xml:space="preserve">.  Efficacy of thermal disinfection is related to a combination of other environmental factors. </w:t>
      </w:r>
    </w:p>
    <w:p w:rsidR="00681042" w:rsidRPr="00EA0320" w:rsidRDefault="00681042" w:rsidP="00681042">
      <w:pPr>
        <w:pStyle w:val="RTCAParagraph"/>
      </w:pPr>
      <w:r w:rsidRPr="00EA0320">
        <w:t xml:space="preserve">Specifically, </w:t>
      </w:r>
      <w:r w:rsidRPr="00681042">
        <w:rPr>
          <w:strike/>
        </w:rPr>
        <w:t>it appears</w:t>
      </w:r>
      <w:r w:rsidRPr="00EA0320">
        <w:t xml:space="preserve"> humidity plays a major role in the relationship between temperature, time, and kill rate for SARS-CoV-2</w:t>
      </w:r>
      <w:r w:rsidR="00481044">
        <w:t xml:space="preserve">.  </w:t>
      </w:r>
      <w:r w:rsidR="00481044" w:rsidRPr="00481044">
        <w:rPr>
          <w:color w:val="0000FF"/>
        </w:rPr>
        <w:t xml:space="preserve">Studies have shown that thermal inactivation temperatures for SARS-CoV-2 can be achieved at 40 degrees C to 55 degrees C depending on the amount of time surfaces are exposed to these temperatures. </w:t>
      </w:r>
      <w:r w:rsidRPr="00681042">
        <w:rPr>
          <w:strike/>
        </w:rPr>
        <w:t>.  Currently, studies are showing at certain relative humidity ranges that SARS-CoV-2 thermal inactivation can be achieved from around 50 degrees C at 30 minutes exposure to around 70 degrees C at 10 minutes exposure.</w:t>
      </w:r>
      <w:r w:rsidRPr="00681042">
        <w:rPr>
          <w:strike/>
        </w:rPr>
        <w:footnoteReference w:id="1"/>
      </w:r>
      <w:r w:rsidRPr="00681042">
        <w:rPr>
          <w:strike/>
        </w:rPr>
        <w:t xml:space="preserve"> </w:t>
      </w:r>
      <w:r w:rsidRPr="00EA0320">
        <w:t xml:space="preserve">Airplane manufacturers and the U.S. military are studying thermal heating as a potential disinfection solution for the flight deck, </w:t>
      </w:r>
      <w:r w:rsidRPr="00681042">
        <w:rPr>
          <w:strike/>
        </w:rPr>
        <w:t>cabin, and cargo compartment</w:t>
      </w:r>
      <w:r w:rsidRPr="00EA0320">
        <w:t xml:space="preserve">.  </w:t>
      </w:r>
      <w:r w:rsidRPr="00681042">
        <w:rPr>
          <w:strike/>
        </w:rPr>
        <w:t>More testing is needed before conclusions can be made about the efficacy and viability of thermal heating for an aircraft</w:t>
      </w:r>
      <w:r w:rsidRPr="00EA0320">
        <w:t xml:space="preserve">.  </w:t>
      </w:r>
      <w:r w:rsidRPr="00681042">
        <w:rPr>
          <w:strike/>
        </w:rPr>
        <w:t>Testing</w:t>
      </w:r>
      <w:r w:rsidRPr="00EA0320">
        <w:t xml:space="preserve"> </w:t>
      </w:r>
      <w:r w:rsidRPr="00681042">
        <w:rPr>
          <w:color w:val="0000FF"/>
        </w:rPr>
        <w:t xml:space="preserve">Operators performing </w:t>
      </w:r>
      <w:bookmarkStart w:id="1" w:name="_GoBack"/>
      <w:bookmarkEnd w:id="1"/>
      <w:r w:rsidRPr="00681042">
        <w:rPr>
          <w:color w:val="0000FF"/>
        </w:rPr>
        <w:t xml:space="preserve">thermal disinfection </w:t>
      </w:r>
      <w:r w:rsidRPr="00681042">
        <w:rPr>
          <w:color w:val="0000FF"/>
        </w:rPr>
        <w:t xml:space="preserve">also need </w:t>
      </w:r>
      <w:r w:rsidRPr="00EA0320">
        <w:t>to address safety of equipment and parts after repeated heating cycles, functional inspection after testing, and proper safety guidelines.</w:t>
      </w:r>
    </w:p>
    <w:p w:rsidR="00440C5F" w:rsidRDefault="00681042" w:rsidP="00681042">
      <w:pPr>
        <w:ind w:left="1440"/>
        <w:rPr>
          <w:color w:val="0000FF"/>
        </w:rPr>
      </w:pPr>
      <w:r w:rsidRPr="00EA0320">
        <w:t xml:space="preserve">While the testing may prove heat and humidity can eliminate biological contamination, for aircraft operations, the operational heat limits still need to be addressed to ensure safety.   </w:t>
      </w:r>
      <w:r w:rsidR="00940396" w:rsidRPr="00940396">
        <w:rPr>
          <w:color w:val="0000FF"/>
        </w:rPr>
        <w:t>Thermal disinfection should be performed using external heaters and in a</w:t>
      </w:r>
      <w:r w:rsidR="002D6BAD">
        <w:rPr>
          <w:color w:val="0000FF"/>
        </w:rPr>
        <w:t xml:space="preserve">n airplane depowered state </w:t>
      </w:r>
      <w:r w:rsidR="00940396" w:rsidRPr="00940396">
        <w:rPr>
          <w:color w:val="0000FF"/>
        </w:rPr>
        <w:t xml:space="preserve">so as to avoid cooling air </w:t>
      </w:r>
      <w:r w:rsidR="002D6BAD">
        <w:rPr>
          <w:color w:val="0000FF"/>
        </w:rPr>
        <w:t>being introduced from the on board aircraft cooling systems which may</w:t>
      </w:r>
      <w:r w:rsidR="00940396" w:rsidRPr="00940396">
        <w:rPr>
          <w:color w:val="0000FF"/>
        </w:rPr>
        <w:t xml:space="preserve"> prevent surface temperatures to rise to the thermal disinfection temperature.  </w:t>
      </w:r>
      <w:r w:rsidR="00737158">
        <w:rPr>
          <w:color w:val="0000FF"/>
        </w:rPr>
        <w:t>Electrical heater blankets are not recommended for thermal disinfection due to potential for overheat and damage.</w:t>
      </w:r>
    </w:p>
    <w:p w:rsidR="00150C18" w:rsidRDefault="00681042" w:rsidP="00681042">
      <w:pPr>
        <w:ind w:left="1440"/>
      </w:pPr>
      <w:r w:rsidRPr="00EA0320">
        <w:t>As the process evolves or the suspect pathogen changes, operators wishing to utilize the</w:t>
      </w:r>
      <w:r>
        <w:t>rmal heating should coordinate with knowledgeable entities such as safety regulators, aircraft, and equipment OEMs to research the viability of the option, including conducting a SMS and SRA process.</w:t>
      </w:r>
    </w:p>
    <w:p w:rsidR="00681042" w:rsidRDefault="00681042" w:rsidP="00681042"/>
    <w:p w:rsidR="00681042" w:rsidRPr="00681042" w:rsidRDefault="00681042" w:rsidP="00681042">
      <w:pPr>
        <w:rPr>
          <w:color w:val="0000FF"/>
        </w:rPr>
      </w:pPr>
      <w:r w:rsidRPr="00874A4A">
        <w:rPr>
          <w:color w:val="0000FF"/>
          <w:vertAlign w:val="superscript"/>
        </w:rPr>
        <w:t>20</w:t>
      </w:r>
      <w:r w:rsidRPr="00681042">
        <w:rPr>
          <w:color w:val="0000FF"/>
        </w:rPr>
        <w:t xml:space="preserve"> Heir, Laib, Nene.  Thermal Disinfection of SARS-CoV-2 within an Airplane. https://www.boeing.com/confident-travel/research/thermal-disinfection-of-SARS-CoV-2-within-an-airplane.html </w:t>
      </w:r>
    </w:p>
    <w:sectPr w:rsidR="00681042" w:rsidRPr="00681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BD" w:rsidRDefault="002969BD" w:rsidP="00681042">
      <w:pPr>
        <w:spacing w:after="0" w:line="240" w:lineRule="auto"/>
      </w:pPr>
      <w:r>
        <w:separator/>
      </w:r>
    </w:p>
  </w:endnote>
  <w:endnote w:type="continuationSeparator" w:id="0">
    <w:p w:rsidR="002969BD" w:rsidRDefault="002969BD" w:rsidP="0068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BD" w:rsidRDefault="002969BD" w:rsidP="00681042">
      <w:pPr>
        <w:spacing w:after="0" w:line="240" w:lineRule="auto"/>
      </w:pPr>
      <w:r>
        <w:separator/>
      </w:r>
    </w:p>
  </w:footnote>
  <w:footnote w:type="continuationSeparator" w:id="0">
    <w:p w:rsidR="002969BD" w:rsidRDefault="002969BD" w:rsidP="00681042">
      <w:pPr>
        <w:spacing w:after="0" w:line="240" w:lineRule="auto"/>
      </w:pPr>
      <w:r>
        <w:continuationSeparator/>
      </w:r>
    </w:p>
  </w:footnote>
  <w:footnote w:id="1">
    <w:p w:rsidR="00681042" w:rsidRPr="00897EC9" w:rsidRDefault="00681042" w:rsidP="00681042">
      <w:pPr>
        <w:pStyle w:val="RTCAFootnote"/>
      </w:pPr>
      <w:r w:rsidRPr="00897EC9">
        <w:footnoteRef/>
      </w:r>
      <w:r w:rsidRPr="00897EC9">
        <w:t xml:space="preserve"> Chin, Chu, Perera et al.  Stability of SARS-CoV-2 in different environmental conditions.  https://doi.org/10.1016/S2666-5247(20)30003-3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76739"/>
    <w:multiLevelType w:val="multilevel"/>
    <w:tmpl w:val="D6A65430"/>
    <w:lvl w:ilvl="0">
      <w:start w:val="3"/>
      <w:numFmt w:val="decimal"/>
      <w:pStyle w:val="Heading1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42"/>
    <w:rsid w:val="00150C18"/>
    <w:rsid w:val="001E12EB"/>
    <w:rsid w:val="002969BD"/>
    <w:rsid w:val="002D6BAD"/>
    <w:rsid w:val="00440C5F"/>
    <w:rsid w:val="00481044"/>
    <w:rsid w:val="00681042"/>
    <w:rsid w:val="00737158"/>
    <w:rsid w:val="00874A4A"/>
    <w:rsid w:val="0094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80E92-430F-4717-BBD3-EBDC896C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042"/>
    <w:rPr>
      <w:rFonts w:ascii="Times New Roman" w:hAnsi="Times New Roman"/>
    </w:rPr>
  </w:style>
  <w:style w:type="paragraph" w:styleId="Heading1">
    <w:name w:val="heading 1"/>
    <w:basedOn w:val="Normal"/>
    <w:next w:val="RTCAParagraph"/>
    <w:link w:val="Heading1Char"/>
    <w:uiPriority w:val="9"/>
    <w:qFormat/>
    <w:rsid w:val="00681042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RTCAParagraph"/>
    <w:link w:val="Heading2Char"/>
    <w:uiPriority w:val="9"/>
    <w:qFormat/>
    <w:rsid w:val="00681042"/>
    <w:pPr>
      <w:keepLines w:val="0"/>
      <w:numPr>
        <w:ilvl w:val="1"/>
      </w:numPr>
      <w:spacing w:after="240" w:line="240" w:lineRule="auto"/>
      <w:outlineLvl w:val="1"/>
    </w:pPr>
    <w:rPr>
      <w:rFonts w:eastAsia="Times New Roman" w:cs="Times New Roman"/>
      <w:noProof/>
      <w:kern w:val="28"/>
      <w:szCs w:val="20"/>
    </w:rPr>
  </w:style>
  <w:style w:type="paragraph" w:styleId="Heading3">
    <w:name w:val="heading 3"/>
    <w:basedOn w:val="Heading2"/>
    <w:next w:val="RTCAParagraph"/>
    <w:link w:val="Heading3Char"/>
    <w:uiPriority w:val="9"/>
    <w:unhideWhenUsed/>
    <w:qFormat/>
    <w:rsid w:val="00681042"/>
    <w:pPr>
      <w:keepLines/>
      <w:numPr>
        <w:ilvl w:val="2"/>
      </w:numPr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Heading3"/>
    <w:next w:val="RTCAParagraph"/>
    <w:link w:val="Heading4Char"/>
    <w:uiPriority w:val="9"/>
    <w:unhideWhenUsed/>
    <w:qFormat/>
    <w:rsid w:val="00681042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RTCAParagraph"/>
    <w:link w:val="Heading5Char"/>
    <w:uiPriority w:val="9"/>
    <w:qFormat/>
    <w:rsid w:val="00681042"/>
    <w:pPr>
      <w:numPr>
        <w:ilvl w:val="4"/>
      </w:numPr>
      <w:outlineLvl w:val="4"/>
    </w:pPr>
  </w:style>
  <w:style w:type="paragraph" w:styleId="Heading6">
    <w:name w:val="heading 6"/>
    <w:basedOn w:val="Heading2"/>
    <w:next w:val="Normal"/>
    <w:link w:val="Heading6Char"/>
    <w:uiPriority w:val="9"/>
    <w:qFormat/>
    <w:rsid w:val="00681042"/>
    <w:pPr>
      <w:numPr>
        <w:ilvl w:val="5"/>
      </w:numPr>
      <w:outlineLvl w:val="5"/>
    </w:pPr>
  </w:style>
  <w:style w:type="paragraph" w:styleId="Heading7">
    <w:name w:val="heading 7"/>
    <w:basedOn w:val="Heading2"/>
    <w:next w:val="Normal"/>
    <w:link w:val="Heading7Char"/>
    <w:uiPriority w:val="9"/>
    <w:qFormat/>
    <w:rsid w:val="00681042"/>
    <w:pPr>
      <w:numPr>
        <w:ilvl w:val="6"/>
      </w:numPr>
      <w:outlineLvl w:val="6"/>
    </w:pPr>
  </w:style>
  <w:style w:type="paragraph" w:styleId="Heading8">
    <w:name w:val="heading 8"/>
    <w:basedOn w:val="Heading2"/>
    <w:next w:val="Normal"/>
    <w:link w:val="Heading8Char"/>
    <w:uiPriority w:val="9"/>
    <w:qFormat/>
    <w:rsid w:val="00681042"/>
    <w:pPr>
      <w:numPr>
        <w:ilvl w:val="7"/>
      </w:numPr>
      <w:tabs>
        <w:tab w:val="left" w:pos="1800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042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1042"/>
    <w:rPr>
      <w:rFonts w:ascii="Times New Roman" w:eastAsia="Times New Roman" w:hAnsi="Times New Roman" w:cs="Times New Roman"/>
      <w:b/>
      <w:noProof/>
      <w:kern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81042"/>
    <w:rPr>
      <w:rFonts w:ascii="Times New Roman" w:eastAsiaTheme="majorEastAsia" w:hAnsi="Times New Roman" w:cstheme="majorBidi"/>
      <w:b/>
      <w:noProof/>
      <w:kern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1042"/>
    <w:rPr>
      <w:rFonts w:ascii="Times New Roman" w:eastAsiaTheme="majorEastAsia" w:hAnsi="Times New Roman" w:cstheme="majorBidi"/>
      <w:b/>
      <w:iCs/>
      <w:noProof/>
      <w:kern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1042"/>
    <w:rPr>
      <w:rFonts w:ascii="Times New Roman" w:eastAsiaTheme="majorEastAsia" w:hAnsi="Times New Roman" w:cstheme="majorBidi"/>
      <w:b/>
      <w:iCs/>
      <w:noProof/>
      <w:kern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81042"/>
    <w:rPr>
      <w:rFonts w:ascii="Times New Roman" w:eastAsia="Times New Roman" w:hAnsi="Times New Roman" w:cs="Times New Roman"/>
      <w:b/>
      <w:noProof/>
      <w:kern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81042"/>
    <w:rPr>
      <w:rFonts w:ascii="Times New Roman" w:eastAsia="Times New Roman" w:hAnsi="Times New Roman" w:cs="Times New Roman"/>
      <w:b/>
      <w:noProof/>
      <w:kern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81042"/>
    <w:rPr>
      <w:rFonts w:ascii="Times New Roman" w:eastAsia="Times New Roman" w:hAnsi="Times New Roman" w:cs="Times New Roman"/>
      <w:b/>
      <w:noProof/>
      <w:kern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1042"/>
    <w:rPr>
      <w:sz w:val="16"/>
      <w:szCs w:val="16"/>
    </w:rPr>
  </w:style>
  <w:style w:type="paragraph" w:customStyle="1" w:styleId="RTCAParagraph">
    <w:name w:val="RTCA Paragraph"/>
    <w:basedOn w:val="Normal"/>
    <w:link w:val="RTCAParagraphChar"/>
    <w:qFormat/>
    <w:rsid w:val="00681042"/>
    <w:pPr>
      <w:spacing w:before="120" w:after="120" w:line="240" w:lineRule="auto"/>
      <w:ind w:left="1440"/>
      <w:jc w:val="both"/>
    </w:pPr>
    <w:rPr>
      <w:rFonts w:eastAsia="Times New Roman" w:cs="Times New Roman"/>
      <w:noProof/>
    </w:rPr>
  </w:style>
  <w:style w:type="character" w:customStyle="1" w:styleId="RTCAParagraphChar">
    <w:name w:val="RTCA Paragraph Char"/>
    <w:link w:val="RTCAParagraph"/>
    <w:rsid w:val="00681042"/>
    <w:rPr>
      <w:rFonts w:ascii="Times New Roman" w:eastAsia="Times New Roman" w:hAnsi="Times New Roman" w:cs="Times New Roman"/>
      <w:noProof/>
    </w:rPr>
  </w:style>
  <w:style w:type="paragraph" w:customStyle="1" w:styleId="RTCAFootnote">
    <w:name w:val="RTCA Footnote"/>
    <w:basedOn w:val="Normal"/>
    <w:qFormat/>
    <w:rsid w:val="00681042"/>
    <w:pPr>
      <w:spacing w:after="60" w:line="240" w:lineRule="auto"/>
      <w:ind w:left="130" w:hanging="130"/>
    </w:pPr>
    <w:rPr>
      <w:rFonts w:eastAsia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4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04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04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Bryan D</dc:creator>
  <cp:keywords/>
  <dc:description/>
  <cp:lastModifiedBy>Moran, Bryan D</cp:lastModifiedBy>
  <cp:revision>6</cp:revision>
  <dcterms:created xsi:type="dcterms:W3CDTF">2021-06-23T16:48:00Z</dcterms:created>
  <dcterms:modified xsi:type="dcterms:W3CDTF">2021-06-23T17:27:00Z</dcterms:modified>
</cp:coreProperties>
</file>