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5D0D3B89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</w:t>
            </w:r>
            <w:r w:rsidR="00306DC7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02 MAR</w:t>
            </w:r>
            <w:r w:rsidR="00B7348B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2021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25247265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 xml:space="preserve">K Gould, W Lumley, </w:t>
            </w:r>
            <w:r w:rsidR="003D4F15">
              <w:rPr>
                <w:rFonts w:ascii="Tahoma" w:hAnsi="Tahoma" w:cs="Tahoma"/>
                <w:szCs w:val="18"/>
              </w:rPr>
              <w:t xml:space="preserve">F Colliver, </w:t>
            </w:r>
            <w:r w:rsidRPr="00F3137A">
              <w:rPr>
                <w:rFonts w:ascii="Tahoma" w:hAnsi="Tahoma" w:cs="Tahoma"/>
                <w:szCs w:val="18"/>
              </w:rPr>
              <w:t>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2DFE2639" w:rsidR="00605429" w:rsidRPr="00F3137A" w:rsidRDefault="00306DC7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09 </w:t>
            </w:r>
            <w:r w:rsidR="003D4F15">
              <w:rPr>
                <w:rFonts w:ascii="Tahoma" w:hAnsi="Tahoma" w:cs="Tahoma"/>
                <w:szCs w:val="18"/>
              </w:rPr>
              <w:t>MAR</w:t>
            </w:r>
            <w:r w:rsidR="00143C9A">
              <w:rPr>
                <w:rFonts w:ascii="Tahoma" w:hAnsi="Tahoma" w:cs="Tahoma"/>
                <w:szCs w:val="18"/>
              </w:rPr>
              <w:t>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 w:rsidR="00143C9A"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397C82DD" w:rsidR="00151EDB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----------------------------------------------------------------------------------------------</w:t>
      </w:r>
    </w:p>
    <w:p w14:paraId="7FF5393F" w14:textId="34D51380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General 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>Update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s For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0</w:t>
      </w:r>
      <w:r w:rsidR="00306DC7">
        <w:rPr>
          <w:rFonts w:ascii="Tahoma" w:hAnsi="Tahoma" w:cs="Tahoma"/>
          <w:b/>
          <w:bCs/>
          <w:color w:val="365F91" w:themeColor="accent1" w:themeShade="BF"/>
          <w:szCs w:val="18"/>
        </w:rPr>
        <w:t>9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>MAR21 Zoom</w:t>
      </w:r>
    </w:p>
    <w:p w14:paraId="2A20D1A6" w14:textId="6D59F149" w:rsidR="00B25F09" w:rsidRDefault="00B25F09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Weekly AGG Activity Report Review</w:t>
      </w:r>
    </w:p>
    <w:p w14:paraId="2E8A6AEB" w14:textId="39775558" w:rsidR="00306DC7" w:rsidRPr="00306DC7" w:rsidRDefault="00306DC7" w:rsidP="00306DC7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306DC7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Due to the Zoom tech issues, as well as Wes and Forrest not being able to participate, the weekly AGG weekly activity report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and FAT-B were generally the only</w:t>
      </w:r>
      <w:r w:rsidRPr="00306DC7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item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s</w:t>
      </w:r>
      <w:r w:rsidRPr="00306DC7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reviewed in detail. Hopefully will resume normal meeting item review in 09 Mar Zoom.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Pr="00306DC7">
        <w:rPr>
          <w:rFonts w:ascii="Tahoma" w:hAnsi="Tahoma" w:cs="Tahoma"/>
          <w:color w:val="365F91" w:themeColor="accent1" w:themeShade="BF"/>
          <w:szCs w:val="18"/>
        </w:rPr>
        <w:t>(Note that the items below are carried over from previous Zoom.)</w:t>
      </w:r>
    </w:p>
    <w:p w14:paraId="67CCF4FB" w14:textId="7C6EFB05" w:rsidR="002D2C40" w:rsidRDefault="002D2C40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Chase &amp; Capture </w:t>
      </w:r>
    </w:p>
    <w:p w14:paraId="1CD07120" w14:textId="4214918E" w:rsidR="00E47B3A" w:rsidRPr="00B25F09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CDC 22 FEB Comments Submitted to RTCA re SC-241 22FEB – HA Update</w:t>
      </w:r>
    </w:p>
    <w:p w14:paraId="75E4C2E3" w14:textId="77777777" w:rsidR="002D2C40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FAT-B Situation Updates – DR, LC</w:t>
      </w:r>
    </w:p>
    <w:p w14:paraId="33D58CBA" w14:textId="05890DD8" w:rsidR="00E47B3A" w:rsidRPr="002D2C40" w:rsidRDefault="00E47B3A" w:rsidP="002D2C4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2D2C40">
        <w:rPr>
          <w:rFonts w:ascii="Tahoma" w:hAnsi="Tahoma" w:cs="Tahoma"/>
          <w:color w:val="365F91" w:themeColor="accent1" w:themeShade="BF"/>
          <w:szCs w:val="18"/>
        </w:rPr>
        <w:t>Mark Snyder</w:t>
      </w:r>
      <w:r w:rsidR="00B25F09" w:rsidRPr="002D2C40">
        <w:rPr>
          <w:rFonts w:ascii="Tahoma" w:hAnsi="Tahoma" w:cs="Tahoma"/>
          <w:color w:val="365F91" w:themeColor="accent1" w:themeShade="BF"/>
          <w:szCs w:val="18"/>
        </w:rPr>
        <w:t xml:space="preserve"> retirement, what next?</w:t>
      </w:r>
    </w:p>
    <w:p w14:paraId="305A62A5" w14:textId="65C66AFD" w:rsidR="00B25F09" w:rsidRDefault="00B25F09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How AGG can help with Chase &amp; Capture – general feedback, action plan</w:t>
      </w:r>
    </w:p>
    <w:p w14:paraId="11E1069D" w14:textId="58E217DF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</w:t>
      </w:r>
    </w:p>
    <w:p w14:paraId="4061ADB4" w14:textId="212CB5E7" w:rsidR="00285E49" w:rsidRPr="00151EDB" w:rsidRDefault="00D06025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Standard</w:t>
      </w:r>
      <w:r w:rsidR="00285E49"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21B43EF5" w14:textId="4CB415CF" w:rsidR="003675FB" w:rsidRPr="00EE10D0" w:rsidRDefault="00502D6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Review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ed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AGG weekly </w:t>
      </w:r>
      <w:r w:rsidR="00643304" w:rsidRPr="00EE10D0">
        <w:rPr>
          <w:rFonts w:ascii="Tahoma" w:hAnsi="Tahoma" w:cs="Tahoma"/>
          <w:color w:val="365F91" w:themeColor="accent1" w:themeShade="BF"/>
          <w:szCs w:val="18"/>
        </w:rPr>
        <w:t>activity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report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 xml:space="preserve"> &amp; planning</w:t>
      </w:r>
    </w:p>
    <w:p w14:paraId="02527774" w14:textId="620EFE4B" w:rsidR="00502D63" w:rsidRPr="00EE10D0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Agreed report will</w:t>
      </w:r>
      <w:r w:rsidR="00502D63" w:rsidRPr="00EE10D0">
        <w:rPr>
          <w:rFonts w:ascii="Tahoma" w:hAnsi="Tahoma" w:cs="Tahoma"/>
          <w:color w:val="365F91" w:themeColor="accent1" w:themeShade="BF"/>
          <w:szCs w:val="18"/>
        </w:rPr>
        <w:t xml:space="preserve"> be provided to participants </w:t>
      </w:r>
      <w:r w:rsidRPr="00EE10D0">
        <w:rPr>
          <w:rFonts w:ascii="Tahoma" w:hAnsi="Tahoma" w:cs="Tahoma"/>
          <w:color w:val="365F91" w:themeColor="accent1" w:themeShade="BF"/>
          <w:szCs w:val="18"/>
        </w:rPr>
        <w:t>each Friday via email</w:t>
      </w:r>
    </w:p>
    <w:p w14:paraId="03CAD143" w14:textId="51C486A2" w:rsidR="00285E49" w:rsidRPr="003675FB" w:rsidRDefault="003675FB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New Peregrine </w:t>
      </w:r>
      <w:r w:rsidR="00285E49" w:rsidRPr="00F3137A">
        <w:rPr>
          <w:rFonts w:ascii="Tahoma" w:hAnsi="Tahoma" w:cs="Tahoma"/>
          <w:szCs w:val="18"/>
        </w:rPr>
        <w:t>Website</w:t>
      </w:r>
    </w:p>
    <w:p w14:paraId="406DFE5B" w14:textId="0F8C9477" w:rsidR="00827C73" w:rsidRPr="003675FB" w:rsidRDefault="00827C73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3675FB">
        <w:rPr>
          <w:rFonts w:ascii="Tahoma" w:hAnsi="Tahoma" w:cs="Tahoma"/>
          <w:szCs w:val="18"/>
        </w:rPr>
        <w:t xml:space="preserve">Initial Launch Completed </w:t>
      </w:r>
    </w:p>
    <w:p w14:paraId="31746812" w14:textId="646DFEA2" w:rsidR="00827C73" w:rsidRPr="00827C73" w:rsidRDefault="00827C73" w:rsidP="00827C73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Review</w:t>
      </w:r>
      <w:r w:rsidR="003675FB">
        <w:rPr>
          <w:rFonts w:ascii="Tahoma" w:hAnsi="Tahoma" w:cs="Tahoma"/>
          <w:szCs w:val="18"/>
        </w:rPr>
        <w:t>ed</w:t>
      </w:r>
      <w:r w:rsidRPr="00827C73">
        <w:rPr>
          <w:rFonts w:ascii="Tahoma" w:hAnsi="Tahoma" w:cs="Tahoma"/>
          <w:szCs w:val="18"/>
        </w:rPr>
        <w:t xml:space="preserve"> new site &amp; feedback</w:t>
      </w:r>
      <w:r w:rsidR="003D4F15">
        <w:rPr>
          <w:rFonts w:ascii="Tahoma" w:hAnsi="Tahoma" w:cs="Tahoma"/>
          <w:szCs w:val="18"/>
        </w:rPr>
        <w:t>??</w:t>
      </w:r>
    </w:p>
    <w:p w14:paraId="1A97D43D" w14:textId="6ACE74ED" w:rsidR="00A26B42" w:rsidRDefault="00827C73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 xml:space="preserve">Outstanding Items </w:t>
      </w:r>
      <w:r w:rsidR="003A3CB9" w:rsidRPr="00827C73">
        <w:rPr>
          <w:rFonts w:ascii="Tahoma" w:hAnsi="Tahoma" w:cs="Tahoma"/>
          <w:szCs w:val="18"/>
        </w:rPr>
        <w:t>WIP</w:t>
      </w:r>
      <w:r w:rsidRPr="00827C73">
        <w:rPr>
          <w:rFonts w:ascii="Tahoma" w:hAnsi="Tahoma" w:cs="Tahoma"/>
          <w:szCs w:val="18"/>
        </w:rPr>
        <w:t>, Scope &amp; Schedule/ ECDs</w:t>
      </w:r>
    </w:p>
    <w:p w14:paraId="0D688D67" w14:textId="4E000B1A" w:rsidR="003D4F15" w:rsidRPr="003D4F15" w:rsidRDefault="003D4F15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3D4F15">
        <w:rPr>
          <w:rFonts w:ascii="Tahoma" w:hAnsi="Tahoma" w:cs="Tahoma"/>
          <w:color w:val="FF0000"/>
          <w:szCs w:val="18"/>
        </w:rPr>
        <w:t>F</w:t>
      </w:r>
      <w:r w:rsidR="00E47B3A">
        <w:rPr>
          <w:rFonts w:ascii="Tahoma" w:hAnsi="Tahoma" w:cs="Tahoma"/>
          <w:color w:val="FF0000"/>
          <w:szCs w:val="18"/>
        </w:rPr>
        <w:t>C</w:t>
      </w:r>
      <w:r w:rsidRPr="003D4F15">
        <w:rPr>
          <w:rFonts w:ascii="Tahoma" w:hAnsi="Tahoma" w:cs="Tahoma"/>
          <w:color w:val="FF0000"/>
          <w:szCs w:val="18"/>
        </w:rPr>
        <w:t xml:space="preserve"> is traveling 02MAR and </w:t>
      </w:r>
      <w:r w:rsidRPr="003D4F15">
        <w:rPr>
          <w:rFonts w:ascii="Tahoma" w:hAnsi="Tahoma" w:cs="Tahoma"/>
          <w:i/>
          <w:iCs/>
          <w:color w:val="FF0000"/>
          <w:szCs w:val="18"/>
        </w:rPr>
        <w:t>if available</w:t>
      </w:r>
      <w:r>
        <w:rPr>
          <w:rFonts w:ascii="Tahoma" w:hAnsi="Tahoma" w:cs="Tahoma"/>
          <w:color w:val="FF0000"/>
          <w:szCs w:val="18"/>
        </w:rPr>
        <w:t xml:space="preserve">, </w:t>
      </w:r>
      <w:r w:rsidRPr="003D4F15">
        <w:rPr>
          <w:rFonts w:ascii="Tahoma" w:hAnsi="Tahoma" w:cs="Tahoma"/>
          <w:color w:val="FF0000"/>
          <w:szCs w:val="18"/>
        </w:rPr>
        <w:t>will join</w:t>
      </w:r>
      <w:r>
        <w:rPr>
          <w:rFonts w:ascii="Tahoma" w:hAnsi="Tahoma" w:cs="Tahoma"/>
          <w:color w:val="FF0000"/>
          <w:szCs w:val="18"/>
        </w:rPr>
        <w:t xml:space="preserve"> &amp; brief</w:t>
      </w:r>
    </w:p>
    <w:p w14:paraId="09896CFE" w14:textId="7B703B93" w:rsidR="003675FB" w:rsidRPr="00EE10D0" w:rsidRDefault="00EE10D0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To Be 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Included in AGG Weekly Activity Rpt</w:t>
      </w:r>
    </w:p>
    <w:p w14:paraId="058F84FC" w14:textId="4CFB6DE9" w:rsidR="00827C73" w:rsidRDefault="00827C7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 campaign</w:t>
      </w:r>
    </w:p>
    <w:p w14:paraId="64B46859" w14:textId="4A91AD23" w:rsidR="003675FB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Available PR material has been or is being approved for release</w:t>
      </w:r>
    </w:p>
    <w:p w14:paraId="51ABF466" w14:textId="7C481088" w:rsidR="003675FB" w:rsidRDefault="003675FB" w:rsidP="003675F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GAC and Bombardier planned PRs are WIP status</w:t>
      </w:r>
    </w:p>
    <w:p w14:paraId="5B7AE851" w14:textId="179676BF" w:rsidR="003675FB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PRs final drafts are complete</w:t>
      </w:r>
    </w:p>
    <w:p w14:paraId="73AF2BB0" w14:textId="6380B3B4" w:rsidR="003675FB" w:rsidRPr="001C6FC9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Kevin &amp; Wes working on customer approvals</w:t>
      </w:r>
    </w:p>
    <w:p w14:paraId="103B53F0" w14:textId="49AF4ABC" w:rsidR="00EE10D0" w:rsidRDefault="00EE10D0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Overall PR planning needs review and refreshing</w:t>
      </w:r>
    </w:p>
    <w:p w14:paraId="3F9D7A9E" w14:textId="3D212011" w:rsidR="00EE10D0" w:rsidRDefault="009300A9" w:rsidP="002D2C4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9300A9">
        <w:rPr>
          <w:rFonts w:ascii="Tahoma" w:hAnsi="Tahoma" w:cs="Tahoma"/>
          <w:color w:val="FF0000"/>
          <w:szCs w:val="18"/>
        </w:rPr>
        <w:t>Refresh</w:t>
      </w:r>
      <w:r w:rsidR="003675FB">
        <w:rPr>
          <w:rFonts w:ascii="Tahoma" w:hAnsi="Tahoma" w:cs="Tahoma"/>
          <w:color w:val="FF0000"/>
          <w:szCs w:val="18"/>
        </w:rPr>
        <w:t xml:space="preserve"> </w:t>
      </w:r>
      <w:r w:rsidR="00EE10D0">
        <w:rPr>
          <w:rFonts w:ascii="Tahoma" w:hAnsi="Tahoma" w:cs="Tahoma"/>
          <w:color w:val="FF0000"/>
          <w:szCs w:val="18"/>
        </w:rPr>
        <w:t>–</w:t>
      </w:r>
      <w:r w:rsidR="003675FB">
        <w:rPr>
          <w:rFonts w:ascii="Tahoma" w:hAnsi="Tahoma" w:cs="Tahoma"/>
          <w:color w:val="FF0000"/>
          <w:szCs w:val="18"/>
        </w:rPr>
        <w:t xml:space="preserve"> Open</w:t>
      </w:r>
      <w:r w:rsidR="00EE10D0">
        <w:rPr>
          <w:rFonts w:ascii="Tahoma" w:hAnsi="Tahoma" w:cs="Tahoma"/>
          <w:color w:val="FF0000"/>
          <w:szCs w:val="18"/>
        </w:rPr>
        <w:t xml:space="preserve"> items, below, from original PR plan</w:t>
      </w:r>
    </w:p>
    <w:p w14:paraId="30FC9B78" w14:textId="099DC00D" w:rsidR="00F3137A" w:rsidRPr="00A81DA7" w:rsidRDefault="00F3137A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lastRenderedPageBreak/>
        <w:t>DRAFT plan review, suggested topics, targeted dates for release</w:t>
      </w:r>
    </w:p>
    <w:p w14:paraId="03DD70EB" w14:textId="43620E2F" w:rsidR="007A4670" w:rsidRPr="00827C73" w:rsidRDefault="007A4670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Dr</w:t>
      </w:r>
      <w:r w:rsidR="00902D91" w:rsidRPr="00827C73">
        <w:rPr>
          <w:rFonts w:ascii="Tahoma" w:hAnsi="Tahoma" w:cs="Tahoma"/>
          <w:szCs w:val="18"/>
        </w:rPr>
        <w:t xml:space="preserve">aft Plan – </w:t>
      </w:r>
      <w:r w:rsidR="00902D91" w:rsidRPr="00B25F09">
        <w:rPr>
          <w:rFonts w:ascii="Tahoma" w:hAnsi="Tahoma" w:cs="Tahoma"/>
          <w:color w:val="FF0000"/>
          <w:szCs w:val="18"/>
        </w:rPr>
        <w:t>New ECD</w:t>
      </w:r>
    </w:p>
    <w:p w14:paraId="46A22BCA" w14:textId="3470C684" w:rsidR="003675FB" w:rsidRPr="00EE10D0" w:rsidRDefault="00827C73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EE10D0">
        <w:rPr>
          <w:rFonts w:ascii="Tahoma" w:hAnsi="Tahoma" w:cs="Tahoma"/>
          <w:color w:val="FF0000"/>
          <w:szCs w:val="18"/>
        </w:rPr>
        <w:t>New ideas for items for email blasts &amp; Peregrine www site</w:t>
      </w:r>
    </w:p>
    <w:p w14:paraId="4E2E0475" w14:textId="55026202" w:rsidR="00285E49" w:rsidRPr="00F3137A" w:rsidRDefault="00285E49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</w:t>
      </w:r>
    </w:p>
    <w:p w14:paraId="731000FB" w14:textId="7687FAFE" w:rsidR="00902D91" w:rsidRPr="00B25F09" w:rsidRDefault="00902D91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B25F09">
        <w:rPr>
          <w:rFonts w:ascii="Tahoma" w:hAnsi="Tahoma" w:cs="Tahoma"/>
          <w:color w:val="FF0000"/>
          <w:szCs w:val="18"/>
        </w:rPr>
        <w:t>New Planning Schedule</w:t>
      </w:r>
      <w:r w:rsidR="00B25F09">
        <w:rPr>
          <w:rFonts w:ascii="Tahoma" w:hAnsi="Tahoma" w:cs="Tahoma"/>
          <w:color w:val="FF0000"/>
          <w:szCs w:val="18"/>
        </w:rPr>
        <w:t xml:space="preserve"> – </w:t>
      </w:r>
      <w:r w:rsidR="00B25F09" w:rsidRPr="00B25F09">
        <w:rPr>
          <w:rFonts w:ascii="Tahoma" w:hAnsi="Tahoma" w:cs="Tahoma"/>
          <w:b/>
          <w:bCs/>
          <w:color w:val="FF0000"/>
          <w:szCs w:val="18"/>
        </w:rPr>
        <w:t>STATUS</w:t>
      </w:r>
      <w:r w:rsidR="00B25F09">
        <w:rPr>
          <w:rFonts w:ascii="Tahoma" w:hAnsi="Tahoma" w:cs="Tahoma"/>
          <w:color w:val="FF0000"/>
          <w:szCs w:val="18"/>
        </w:rPr>
        <w:t>?</w:t>
      </w:r>
    </w:p>
    <w:p w14:paraId="70191505" w14:textId="414AF118" w:rsidR="0022340D" w:rsidRPr="00A81DA7" w:rsidRDefault="0022340D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Asked for any idea inputs ASAP (LC is collection POC)</w:t>
      </w:r>
    </w:p>
    <w:p w14:paraId="52C9B160" w14:textId="657C8B38" w:rsidR="00A81DA7" w:rsidRDefault="00A81DA7" w:rsidP="00A81DA7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>
        <w:rPr>
          <w:rFonts w:ascii="Tahoma" w:hAnsi="Tahoma" w:cs="Tahoma"/>
          <w:szCs w:val="18"/>
        </w:rPr>
        <w:t>Any updates??</w:t>
      </w:r>
    </w:p>
    <w:bookmarkEnd w:id="0"/>
    <w:p w14:paraId="7ED5B85A" w14:textId="3CAE1614" w:rsidR="00761A4A" w:rsidRPr="00761A4A" w:rsidRDefault="00BB55DA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BB55DA">
        <w:rPr>
          <w:rFonts w:ascii="Tahoma" w:hAnsi="Tahoma" w:cs="Tahoma"/>
          <w:color w:val="FF0000"/>
          <w:szCs w:val="18"/>
        </w:rPr>
        <w:t>Refresh</w:t>
      </w:r>
      <w:r w:rsidR="00761A4A">
        <w:rPr>
          <w:rFonts w:ascii="Tahoma" w:hAnsi="Tahoma" w:cs="Tahoma"/>
          <w:color w:val="FF0000"/>
          <w:szCs w:val="18"/>
        </w:rPr>
        <w:t xml:space="preserve"> – Open items, below, from original planning</w:t>
      </w:r>
      <w:r w:rsidR="002D2C40">
        <w:rPr>
          <w:rFonts w:ascii="Tahoma" w:hAnsi="Tahoma" w:cs="Tahoma"/>
          <w:color w:val="FF0000"/>
          <w:szCs w:val="18"/>
        </w:rPr>
        <w:t xml:space="preserve"> – 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STATUS</w:t>
      </w:r>
      <w:r w:rsidR="002D2C40">
        <w:rPr>
          <w:rFonts w:ascii="Tahoma" w:hAnsi="Tahoma" w:cs="Tahoma"/>
          <w:color w:val="FF0000"/>
          <w:szCs w:val="18"/>
        </w:rPr>
        <w:t>?</w:t>
      </w:r>
    </w:p>
    <w:p w14:paraId="2FE21359" w14:textId="17D32B67" w:rsidR="00761A4A" w:rsidRPr="00761A4A" w:rsidRDefault="00761A4A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color w:val="FF0000"/>
          <w:szCs w:val="18"/>
        </w:rPr>
        <w:t>New weekly Zoom to focus on Chase &amp; Capture</w:t>
      </w:r>
    </w:p>
    <w:p w14:paraId="1442668E" w14:textId="1B34B9E1" w:rsidR="00565814" w:rsidRDefault="00565814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AGG re-engage Chase &amp; Capture Activity</w:t>
      </w:r>
    </w:p>
    <w:p w14:paraId="051BF965" w14:textId="65FAC7B9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Re-confirm/ scope</w:t>
      </w:r>
      <w:r w:rsidR="00761A4A">
        <w:rPr>
          <w:rFonts w:ascii="Tahoma" w:hAnsi="Tahoma" w:cs="Tahoma"/>
          <w:szCs w:val="18"/>
        </w:rPr>
        <w:t>, t</w:t>
      </w:r>
      <w:r>
        <w:rPr>
          <w:rFonts w:ascii="Tahoma" w:hAnsi="Tahoma" w:cs="Tahoma"/>
          <w:szCs w:val="18"/>
        </w:rPr>
        <w:t>asking - AGG role</w:t>
      </w:r>
    </w:p>
    <w:p w14:paraId="755B48A4" w14:textId="77777777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Mktg Admin</w:t>
      </w:r>
    </w:p>
    <w:p w14:paraId="7E561CD5" w14:textId="18ABCB4E" w:rsidR="00D06025" w:rsidRDefault="00285E49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1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1"/>
    </w:p>
    <w:p w14:paraId="19A38EAF" w14:textId="777FAB04" w:rsidR="00565814" w:rsidRDefault="00523710" w:rsidP="001C6FC9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77D0B727" w14:textId="2E2BCD16" w:rsidR="00761A4A" w:rsidRPr="00761A4A" w:rsidRDefault="00761A4A" w:rsidP="00761A4A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To Be Included in AGG Weekly Activity Rpt</w:t>
      </w:r>
    </w:p>
    <w:p w14:paraId="30D39860" w14:textId="7D91D574" w:rsidR="00761A4A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</w:p>
    <w:p w14:paraId="706A94FD" w14:textId="793747F3" w:rsidR="00761A4A" w:rsidRPr="002D2C40" w:rsidRDefault="00761A4A" w:rsidP="00761A4A">
      <w:pPr>
        <w:numPr>
          <w:ilvl w:val="0"/>
          <w:numId w:val="11"/>
        </w:numPr>
        <w:spacing w:before="0" w:line="240" w:lineRule="auto"/>
        <w:rPr>
          <w:rFonts w:ascii="Tahoma" w:hAnsi="Tahoma" w:cs="Tahoma"/>
          <w:szCs w:val="18"/>
        </w:rPr>
      </w:pPr>
      <w:r w:rsidRPr="002D2C40">
        <w:rPr>
          <w:rFonts w:ascii="Tahoma" w:hAnsi="Tahoma" w:cs="Tahoma"/>
          <w:szCs w:val="18"/>
        </w:rPr>
        <w:t>To Be Included in AGG Weekly Activity Rpt</w:t>
      </w:r>
    </w:p>
    <w:p w14:paraId="2BC8AA47" w14:textId="40FE21FC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12D0D84D" w:rsidR="005302E9" w:rsidRPr="00F8083E" w:rsidRDefault="002D2C40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CDC Feedback - </w:t>
      </w:r>
      <w:r w:rsidR="00902D91">
        <w:rPr>
          <w:rFonts w:ascii="Tahoma" w:hAnsi="Tahoma" w:cs="Tahoma"/>
          <w:szCs w:val="18"/>
        </w:rPr>
        <w:t xml:space="preserve">RTCA SC241/ EUROCAE WG-121 </w:t>
      </w:r>
      <w:r w:rsidR="00902D91"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="00902D91"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27110AD3" w14:textId="74457B58" w:rsidR="000D732C" w:rsidRPr="005302E9" w:rsidRDefault="00902D91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471E693E" w14:textId="77777777" w:rsidR="00761A4A" w:rsidRDefault="00761A4A">
      <w:pPr>
        <w:spacing w:before="0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br w:type="page"/>
      </w:r>
    </w:p>
    <w:p w14:paraId="5526CB71" w14:textId="2054FC82" w:rsidR="003A301C" w:rsidRPr="00F474A3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 xml:space="preserve">Chase &amp; Capture Update - </w:t>
      </w:r>
      <w:r w:rsidR="003A301C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>Track events to ID targets</w:t>
      </w:r>
      <w:r w:rsidR="00E115C9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115C9" w:rsidRPr="00F474A3">
        <w:rPr>
          <w:rFonts w:ascii="Tahoma" w:hAnsi="Tahoma" w:cs="Tahoma"/>
          <w:b/>
          <w:bCs/>
          <w:color w:val="FF0000"/>
          <w:szCs w:val="18"/>
        </w:rPr>
        <w:t>Update</w:t>
      </w:r>
      <w:r w:rsidR="002D2C40">
        <w:rPr>
          <w:rFonts w:ascii="Tahoma" w:hAnsi="Tahoma" w:cs="Tahoma"/>
          <w:b/>
          <w:bCs/>
          <w:color w:val="FF0000"/>
          <w:szCs w:val="18"/>
        </w:rPr>
        <w:t xml:space="preserve"> – STATUS</w:t>
      </w:r>
      <w:r w:rsidR="002D2C40" w:rsidRPr="002D2C40">
        <w:rPr>
          <w:rFonts w:ascii="Tahoma" w:hAnsi="Tahoma" w:cs="Tahoma"/>
          <w:color w:val="FF0000"/>
          <w:szCs w:val="18"/>
        </w:rPr>
        <w:t>?</w:t>
      </w:r>
    </w:p>
    <w:p w14:paraId="35A6AA2B" w14:textId="38E6B8AD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Peregrine activity update</w:t>
      </w:r>
    </w:p>
    <w:p w14:paraId="0647A7E8" w14:textId="00AF4CF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AGG activity update</w:t>
      </w:r>
    </w:p>
    <w:p w14:paraId="6028C552" w14:textId="355DCFA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Chase &amp; Capture Plan, Action</w:t>
      </w:r>
    </w:p>
    <w:p w14:paraId="14106E07" w14:textId="1BF4BE83" w:rsidR="00BB55DA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STC Status</w:t>
      </w:r>
      <w:r w:rsidR="00F474A3">
        <w:rPr>
          <w:rFonts w:ascii="Tahoma" w:hAnsi="Tahoma" w:cs="Tahoma"/>
          <w:szCs w:val="18"/>
        </w:rPr>
        <w:t xml:space="preserve">, Availability &amp; Structure (Prime, sub, who controls?) - </w:t>
      </w:r>
      <w:r w:rsidR="00F474A3" w:rsidRPr="00F474A3">
        <w:rPr>
          <w:rFonts w:ascii="Tahoma" w:hAnsi="Tahoma" w:cs="Tahoma"/>
          <w:szCs w:val="18"/>
        </w:rPr>
        <w:t>Update</w:t>
      </w:r>
    </w:p>
    <w:p w14:paraId="0EDAC0EE" w14:textId="136495EA" w:rsidR="00F474A3" w:rsidRPr="00F474A3" w:rsidRDefault="00F474A3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color w:val="FF0000"/>
          <w:szCs w:val="18"/>
        </w:rPr>
        <w:t>Chase &amp; Capture – Previous Activity</w:t>
      </w:r>
      <w:r w:rsidRPr="00F474A3">
        <w:rPr>
          <w:rFonts w:ascii="Tahoma" w:hAnsi="Tahoma" w:cs="Tahoma"/>
          <w:color w:val="FF0000"/>
          <w:szCs w:val="18"/>
        </w:rPr>
        <w:t xml:space="preserve"> …</w:t>
      </w:r>
      <w:r>
        <w:rPr>
          <w:rFonts w:ascii="Tahoma" w:hAnsi="Tahoma" w:cs="Tahoma"/>
          <w:color w:val="FF0000"/>
          <w:szCs w:val="18"/>
        </w:rPr>
        <w:t xml:space="preserve"> Chasing, Won, Closed, Actions??</w:t>
      </w:r>
    </w:p>
    <w:p w14:paraId="2567C0E6" w14:textId="38ED9E32" w:rsidR="00BB55DA" w:rsidRPr="00A8770E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szCs w:val="18"/>
        </w:rPr>
        <w:t>Learjet med evac operation potential customer</w:t>
      </w:r>
      <w:r>
        <w:rPr>
          <w:rFonts w:ascii="Tahoma" w:hAnsi="Tahoma" w:cs="Tahoma"/>
          <w:szCs w:val="18"/>
        </w:rPr>
        <w:t xml:space="preserve"> – WL update</w:t>
      </w:r>
    </w:p>
    <w:p w14:paraId="18600F73" w14:textId="77777777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383D64BA" w14:textId="77777777" w:rsidR="00BB55DA" w:rsidRPr="000D732C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264E0505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39ED5353" w14:textId="009F05C6" w:rsidR="00F474A3" w:rsidRPr="002D2C40" w:rsidRDefault="00BB55DA" w:rsidP="002D2C40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STATUS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>?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</w:t>
      </w:r>
      <w:r w:rsidR="00A8770E" w:rsidRPr="002D2C40">
        <w:rPr>
          <w:rFonts w:ascii="Tahoma" w:hAnsi="Tahoma" w:cs="Tahoma"/>
          <w:color w:val="FF0000"/>
          <w:szCs w:val="18"/>
        </w:rPr>
        <w:t>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D398099" w14:textId="77777777" w:rsidR="00BB55DA" w:rsidRPr="00C431B5" w:rsidRDefault="00BB55DA" w:rsidP="00BB55DA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LC Updates?</w:t>
      </w:r>
    </w:p>
    <w:p w14:paraId="72072207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16B16C71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2F99F54E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40648B66" w14:textId="3537CDC2" w:rsidR="00BB55DA" w:rsidRPr="006F43B9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  <w:r w:rsidR="0082379E">
        <w:rPr>
          <w:rFonts w:ascii="Tahoma" w:hAnsi="Tahoma" w:cs="Tahoma"/>
          <w:color w:val="365F91" w:themeColor="accent1" w:themeShade="BF"/>
          <w:szCs w:val="18"/>
        </w:rPr>
        <w:t>–</w:t>
      </w:r>
      <w:r w:rsidR="002D2C4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82379E">
        <w:rPr>
          <w:rFonts w:ascii="Tahoma" w:hAnsi="Tahoma" w:cs="Tahoma"/>
          <w:b/>
          <w:bCs/>
          <w:color w:val="FF0000"/>
          <w:szCs w:val="18"/>
        </w:rPr>
        <w:t>LC U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PDATE</w:t>
      </w:r>
    </w:p>
    <w:p w14:paraId="6C44AEA1" w14:textId="77777777" w:rsidR="00BB55DA" w:rsidRPr="006F43B9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21EC49E1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0DB0C17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04F91DAD" w14:textId="6053CEA9" w:rsidR="00F474A3" w:rsidRPr="00C431B5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proofErr w:type="gramStart"/>
      <w:r>
        <w:rPr>
          <w:rFonts w:ascii="Tahoma" w:hAnsi="Tahoma" w:cs="Tahoma"/>
          <w:b/>
          <w:bCs/>
          <w:color w:val="365F91" w:themeColor="accent1" w:themeShade="BF"/>
          <w:szCs w:val="18"/>
        </w:rPr>
        <w:t>Other ????</w:t>
      </w:r>
      <w:proofErr w:type="gramEnd"/>
    </w:p>
    <w:p w14:paraId="354E0599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2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2"/>
  <w:p w14:paraId="33851C6D" w14:textId="0166B9F5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7A2247">
      <w:rPr>
        <w:rFonts w:ascii="Tahoma" w:hAnsi="Tahoma" w:cs="Tahoma"/>
        <w:noProof/>
        <w:color w:val="000000"/>
        <w:sz w:val="16"/>
        <w:szCs w:val="6"/>
      </w:rPr>
      <w:t>8 March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" w:name="_Hlk536195228"/>
    <w:bookmarkStart w:id="8" w:name="_Hlk536196098"/>
    <w:bookmarkStart w:id="9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3" w:name="_Hlk536688929"/>
    <w:bookmarkStart w:id="4" w:name="_Hlk536688928"/>
    <w:bookmarkStart w:id="5" w:name="_Hlk536688927"/>
    <w:bookmarkStart w:id="6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3"/>
    <w:bookmarkEnd w:id="4"/>
    <w:bookmarkEnd w:id="5"/>
    <w:bookmarkEnd w:id="6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1C6FC9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D2C40"/>
    <w:rsid w:val="002E3200"/>
    <w:rsid w:val="00306DC7"/>
    <w:rsid w:val="00323D2E"/>
    <w:rsid w:val="00330844"/>
    <w:rsid w:val="0034332A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60A5F"/>
    <w:rsid w:val="00565814"/>
    <w:rsid w:val="005A7135"/>
    <w:rsid w:val="005B6C17"/>
    <w:rsid w:val="005D029E"/>
    <w:rsid w:val="005D0C44"/>
    <w:rsid w:val="005E54CB"/>
    <w:rsid w:val="00605429"/>
    <w:rsid w:val="006109F5"/>
    <w:rsid w:val="00643304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1DA7"/>
    <w:rsid w:val="00A8223B"/>
    <w:rsid w:val="00A8770E"/>
    <w:rsid w:val="00AC5910"/>
    <w:rsid w:val="00B107D4"/>
    <w:rsid w:val="00B25F09"/>
    <w:rsid w:val="00B273A3"/>
    <w:rsid w:val="00B34F86"/>
    <w:rsid w:val="00B36838"/>
    <w:rsid w:val="00B646FF"/>
    <w:rsid w:val="00B662CB"/>
    <w:rsid w:val="00B72237"/>
    <w:rsid w:val="00B7348B"/>
    <w:rsid w:val="00B93153"/>
    <w:rsid w:val="00B93541"/>
    <w:rsid w:val="00BB0A6F"/>
    <w:rsid w:val="00BB55DA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11A1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617CB"/>
    <w:rsid w:val="00E704F7"/>
    <w:rsid w:val="00E81D49"/>
    <w:rsid w:val="00EA06D3"/>
    <w:rsid w:val="00EB5064"/>
    <w:rsid w:val="00EE10D0"/>
    <w:rsid w:val="00F079F1"/>
    <w:rsid w:val="00F3137A"/>
    <w:rsid w:val="00F35DA1"/>
    <w:rsid w:val="00F474A3"/>
    <w:rsid w:val="00F8083E"/>
    <w:rsid w:val="00F8663A"/>
    <w:rsid w:val="00FA5F5D"/>
    <w:rsid w:val="00FA64DD"/>
    <w:rsid w:val="00FB3EF9"/>
    <w:rsid w:val="00FC288B"/>
    <w:rsid w:val="00FE16E1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2C6FDF"/>
    <w:rsid w:val="003861AA"/>
    <w:rsid w:val="004A2D07"/>
    <w:rsid w:val="00542ACA"/>
    <w:rsid w:val="00566C0A"/>
    <w:rsid w:val="00566E97"/>
    <w:rsid w:val="005F3420"/>
    <w:rsid w:val="00612F8E"/>
    <w:rsid w:val="007B50EF"/>
    <w:rsid w:val="007D4A75"/>
    <w:rsid w:val="00845CA2"/>
    <w:rsid w:val="0095723C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8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3</cp:revision>
  <cp:lastPrinted>2020-11-25T14:39:00Z</cp:lastPrinted>
  <dcterms:created xsi:type="dcterms:W3CDTF">2021-03-08T16:20:00Z</dcterms:created>
  <dcterms:modified xsi:type="dcterms:W3CDTF">2021-03-08T16:25:00Z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